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25" w:rsidRPr="00030A5B" w:rsidRDefault="00A71524">
      <w:pPr>
        <w:rPr>
          <w:sz w:val="24"/>
          <w:szCs w:val="24"/>
        </w:rPr>
      </w:pPr>
      <w:r w:rsidRPr="00030A5B">
        <w:rPr>
          <w:noProof/>
          <w:sz w:val="24"/>
          <w:szCs w:val="24"/>
          <w:lang w:eastAsia="ro-RO"/>
        </w:rPr>
        <w:drawing>
          <wp:inline distT="0" distB="0" distL="0" distR="0" wp14:anchorId="4DEB14EB" wp14:editId="4E8E6492">
            <wp:extent cx="5760720" cy="1675130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24" w:rsidRDefault="00A71524" w:rsidP="00A71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28" w:rsidRPr="00030A5B" w:rsidRDefault="00672828" w:rsidP="00A71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F1" w:rsidRPr="00030A5B" w:rsidRDefault="00B52CFF" w:rsidP="00A71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 CU PRIVIRE LA COPLATA</w:t>
      </w:r>
    </w:p>
    <w:p w:rsidR="00FC4EF7" w:rsidRPr="00030A5B" w:rsidRDefault="00FC4EF7" w:rsidP="00FC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EF7" w:rsidRPr="00030A5B" w:rsidRDefault="00FC4EF7" w:rsidP="00FC4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CFF" w:rsidRPr="009C221C" w:rsidRDefault="00B52CFF" w:rsidP="00FC4E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9C221C" w:rsidRPr="009C221C" w:rsidRDefault="009C221C" w:rsidP="009C22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In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cadrul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Spitalului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de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Psihiatrie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Cronici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Schitu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Greci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,</w:t>
      </w:r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>valoarea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C221C">
        <w:rPr>
          <w:rFonts w:ascii="Times New Roman" w:hAnsi="Times New Roman" w:cs="Times New Roman"/>
          <w:b/>
          <w:sz w:val="28"/>
          <w:szCs w:val="28"/>
        </w:rPr>
        <w:t>coplăţii</w:t>
      </w:r>
      <w:proofErr w:type="spellEnd"/>
      <w:r w:rsidRPr="009C221C">
        <w:rPr>
          <w:rFonts w:ascii="Times New Roman" w:hAnsi="Times New Roman" w:cs="Times New Roman"/>
          <w:b/>
          <w:sz w:val="28"/>
          <w:szCs w:val="28"/>
        </w:rPr>
        <w:t xml:space="preserve"> este de 10 lei.</w:t>
      </w:r>
    </w:p>
    <w:p w:rsidR="009C221C" w:rsidRDefault="009C221C" w:rsidP="009C22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C221C" w:rsidRDefault="009C221C" w:rsidP="0067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conformitate cu prevederile art.99 alin.1 din HG nr.140/2018 </w:t>
      </w:r>
      <w:r>
        <w:rPr>
          <w:rFonts w:ascii="Times New Roman" w:hAnsi="Times New Roman" w:cs="Times New Roman"/>
          <w:sz w:val="28"/>
          <w:szCs w:val="28"/>
        </w:rPr>
        <w:t xml:space="preserve">pentru aprobarea pachetelor de servicii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Contractului-cadru care reglementează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acordării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medicale, a medicamentelor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dispozitivelor medicale în cadrul sistemului de asigurări sociale de sănătate pentru anii 2018 </w:t>
      </w:r>
      <w:r w:rsidR="006728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672828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672828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672828"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 w:rsidR="00672828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672828">
        <w:rPr>
          <w:rFonts w:ascii="Times New Roman" w:hAnsi="Times New Roman" w:cs="Times New Roman"/>
          <w:sz w:val="28"/>
          <w:szCs w:val="28"/>
        </w:rPr>
        <w:t xml:space="preserve"> ulterioare:</w:t>
      </w:r>
    </w:p>
    <w:p w:rsidR="009C221C" w:rsidRDefault="009C221C" w:rsidP="009C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1C" w:rsidRPr="00672828" w:rsidRDefault="009C221C" w:rsidP="0067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28">
        <w:rPr>
          <w:rFonts w:ascii="Times New Roman" w:hAnsi="Times New Roman" w:cs="Times New Roman"/>
          <w:sz w:val="28"/>
          <w:szCs w:val="28"/>
        </w:rPr>
        <w:t xml:space="preserve"> </w:t>
      </w:r>
      <w:r w:rsidRPr="00672828">
        <w:rPr>
          <w:rFonts w:ascii="Times New Roman" w:hAnsi="Times New Roman" w:cs="Times New Roman"/>
          <w:sz w:val="28"/>
          <w:szCs w:val="28"/>
        </w:rPr>
        <w:t>(</w:t>
      </w:r>
      <w:r w:rsidRPr="00672828">
        <w:rPr>
          <w:rFonts w:ascii="Times New Roman" w:hAnsi="Times New Roman" w:cs="Times New Roman"/>
          <w:b/>
          <w:sz w:val="28"/>
          <w:szCs w:val="28"/>
        </w:rPr>
        <w:t xml:space="preserve">1) Spitalele încasează de la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asiguraţi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suma corespunzătoare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coplăţii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astfel:</w:t>
      </w:r>
    </w:p>
    <w:p w:rsidR="009C221C" w:rsidRPr="00672828" w:rsidRDefault="009C221C" w:rsidP="0067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28">
        <w:rPr>
          <w:rFonts w:ascii="Times New Roman" w:hAnsi="Times New Roman" w:cs="Times New Roman"/>
          <w:b/>
          <w:sz w:val="28"/>
          <w:szCs w:val="28"/>
        </w:rPr>
        <w:t xml:space="preserve">    a) pentru serviciile medicale acordate în regim de spitalizare continuă, în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secţiile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/compartimentele cu paturi din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unităţile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sanitare cu paturi organizate conform prevederilor legale în vigoare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aflate în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relaţii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contractuale cu casele de asigurări de sănătate;</w:t>
      </w:r>
    </w:p>
    <w:p w:rsidR="009C221C" w:rsidRPr="00672828" w:rsidRDefault="009C221C" w:rsidP="0067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28">
        <w:rPr>
          <w:rFonts w:ascii="Times New Roman" w:hAnsi="Times New Roman" w:cs="Times New Roman"/>
          <w:b/>
          <w:sz w:val="28"/>
          <w:szCs w:val="28"/>
        </w:rPr>
        <w:t xml:space="preserve">    b) pentru serviciile medicale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spitaliceşti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, acordate în regim de spitalizare continuă, prevăzute în pachetul de servicii medicale de bază.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Excepţie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fac serviciile medicale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spitaliceşti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acordate în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secţiile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/compartimentele de îngrijiri paliative, serviciile medicale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spitaliceşti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pentru internările bolnavilor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aflaţi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sub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incidenţa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art. 109, 110, 124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125 din Legea nr. 286/2009, cu modificările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completările ulterioare,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în cazurile dispuse prin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ordonanţă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 procurorului pe timpul judecării sau urmăririi penale, care necesită izolare ori internare obligatorie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tratamentul persoanelor private de libertate pentru care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instanţa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de judecată a dispus executarea pedepsei într-un penitenciar-spital, serviciile medicale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spitaliceşti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de lungă durată - ani -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serviciile medicale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spitaliceşti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pentru care criteriul de internare este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urgenţa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medico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-chirurgicală, precum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tratamentul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pacienţilor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Pr="006728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penitenciare ale căror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afecţiuni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necesită monitorizare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reevaluare în cadrul penitenciarelor-spital;</w:t>
      </w:r>
    </w:p>
    <w:p w:rsidR="009C221C" w:rsidRPr="00672828" w:rsidRDefault="009C221C" w:rsidP="0067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28">
        <w:rPr>
          <w:rFonts w:ascii="Times New Roman" w:hAnsi="Times New Roman" w:cs="Times New Roman"/>
          <w:b/>
          <w:sz w:val="28"/>
          <w:szCs w:val="28"/>
        </w:rPr>
        <w:t xml:space="preserve">    c) pentru serviciile medicale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spitaliceşti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acordate în regim de spitalizare continuă, nivelul minim al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coplăţii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este de 5 lei, iar nivelul maxim este de 10 lei. Valoarea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coplăţii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este stabilită de fiecare unitate sanitară cu paturi pe bază de criterii proprii, cu avizul consiliului de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administraţie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al </w:t>
      </w:r>
      <w:proofErr w:type="spellStart"/>
      <w:r w:rsidRPr="00672828">
        <w:rPr>
          <w:rFonts w:ascii="Times New Roman" w:hAnsi="Times New Roman" w:cs="Times New Roman"/>
          <w:b/>
          <w:sz w:val="28"/>
          <w:szCs w:val="28"/>
        </w:rPr>
        <w:t>unităţii</w:t>
      </w:r>
      <w:proofErr w:type="spellEnd"/>
      <w:r w:rsidRPr="00672828">
        <w:rPr>
          <w:rFonts w:ascii="Times New Roman" w:hAnsi="Times New Roman" w:cs="Times New Roman"/>
          <w:b/>
          <w:sz w:val="28"/>
          <w:szCs w:val="28"/>
        </w:rPr>
        <w:t xml:space="preserve"> sanitare respective.</w:t>
      </w:r>
    </w:p>
    <w:p w:rsidR="009C221C" w:rsidRPr="00672828" w:rsidRDefault="009C221C" w:rsidP="00672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828" w:rsidRDefault="00672828" w:rsidP="00672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</w:t>
      </w:r>
      <w:r>
        <w:rPr>
          <w:rFonts w:ascii="Times New Roman" w:hAnsi="Times New Roman" w:cs="Times New Roman"/>
          <w:sz w:val="28"/>
          <w:szCs w:val="28"/>
        </w:rPr>
        <w:t xml:space="preserve">nformitate cu prevederile art.225 alin.1 din Legea nr.95/2006 </w:t>
      </w:r>
      <w:r>
        <w:rPr>
          <w:rFonts w:ascii="Times New Roman" w:hAnsi="Times New Roman" w:cs="Times New Roman"/>
          <w:sz w:val="28"/>
          <w:szCs w:val="28"/>
        </w:rPr>
        <w:t xml:space="preserve">privind reforma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ulterioare:</w:t>
      </w:r>
    </w:p>
    <w:p w:rsidR="00672828" w:rsidRDefault="00672828" w:rsidP="00672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28" w:rsidRDefault="00672828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2CF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(1) Următoarele categorii de persoane sunt scutite de la coplată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beneficiază de asigurare, fără plata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contribuţiei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, în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condiţiile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art. 224, după cum urmează: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a) copiii până la vârsta de 18 ani;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b) tinerii între 18 ani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26 de ani, dacă sunt elevi,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absolvenţi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de liceu, până la începerea anului universitar, dar nu mai mult de 3 luni, ucenicii sau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studenţii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>;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c) bolnavii cu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afecţiuni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incluse în programele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naţionale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de sănătate stabilite de Ministerul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Sănătăţii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, pentru serviciile medicale aferente bolii de bază a respectivei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afecţiuni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>, dacă nu realizează venituri din muncă, pensie sau din alte resurse;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d) persoanele fizice cu venituri din pensii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indemnizaţie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socială pentru pensionari, de până la 900 lei/lună inclusiv, indiferent dacă realizează sau nu alte ve</w:t>
      </w:r>
      <w:bookmarkStart w:id="0" w:name="_GoBack"/>
      <w:bookmarkEnd w:id="0"/>
      <w:r w:rsidRPr="00672828">
        <w:rPr>
          <w:rFonts w:ascii="Times New Roman" w:hAnsi="Times New Roman" w:cs="Times New Roman"/>
          <w:b/>
          <w:iCs/>
          <w:sz w:val="28"/>
          <w:szCs w:val="28"/>
        </w:rPr>
        <w:t>nituri;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e) toate femeile însărcinate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lăuzele, pentru servicii medicale legate de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evoluţia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sarcinii, iar cele care nu au niciun venit sau au venituri sub salariul de bază minim brut pe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ţară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>, pentru toate serviciile medicale;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f) persoanele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cetăţeni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români, care sunt victime ale traficului de persoane;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g) persoanele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reţinute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, arestate sau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deţinute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, dacă nu realizează venituri din muncă, pensie sau din alte resurse, care se află în centrele de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reţinere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arestare preventivă.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(2) Persoanele prevăzute la alin. (1) lit. a), e)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f) sunt scutite de la coplată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beneficiază de asigurare, fără plata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contribuţiei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, în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condiţiile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art. 224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în cazul în care nu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deţin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cod numeric personal, în termen de maximum un an de zile de la data primei prezentări la furnizorul de servicii medicale.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(3) Persoanele prevăzute la alin. (2) care solicită servicii medicale, vor declara că nu sunt înregistrate în registrele de stare civilă, cu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excepţia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copiilor de până la 14 ani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a persoanelor cu handicap, pentru care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declaraţia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se formulează de către persoanele care le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însoţesc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la furnizorul de servicii medicale.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(4) În toate cazurile în care se vor aplica prevederile alin. (2) furnizorii de servicii medicale vor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anunţa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de îndată organele de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poliţie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serviciile de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asistenţă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socială din raza teritorială a furnizorului de servicii medicale, în vederea efectuării procedurilor de înregistrare a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naşterii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acestor persoane în registrele de stare civilă conform legii sau identificării lor, după caz.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   (5) Fapta persoanei privind declararea neconformă cu realitatea constituie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infracţiune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de fals privind identitatea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şi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se </w:t>
      </w:r>
      <w:proofErr w:type="spellStart"/>
      <w:r w:rsidRPr="00672828">
        <w:rPr>
          <w:rFonts w:ascii="Times New Roman" w:hAnsi="Times New Roman" w:cs="Times New Roman"/>
          <w:b/>
          <w:iCs/>
          <w:sz w:val="28"/>
          <w:szCs w:val="28"/>
        </w:rPr>
        <w:t>pedepseşte</w:t>
      </w:r>
      <w:proofErr w:type="spellEnd"/>
      <w:r w:rsidRPr="00672828">
        <w:rPr>
          <w:rFonts w:ascii="Times New Roman" w:hAnsi="Times New Roman" w:cs="Times New Roman"/>
          <w:b/>
          <w:iCs/>
          <w:sz w:val="28"/>
          <w:szCs w:val="28"/>
        </w:rPr>
        <w:t xml:space="preserve"> conform prevederilor Codului penal.</w:t>
      </w:r>
    </w:p>
    <w:p w:rsidR="00B52CFF" w:rsidRPr="00672828" w:rsidRDefault="00B52CFF" w:rsidP="00B52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CFF" w:rsidRPr="00672828" w:rsidRDefault="00B52CFF" w:rsidP="00FC4E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52CFF" w:rsidRPr="00672828" w:rsidRDefault="00B52CFF" w:rsidP="00FC4EF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52CFF" w:rsidRDefault="00B52CFF" w:rsidP="00FC4E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2CFF" w:rsidRDefault="00B52CFF" w:rsidP="00FC4E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2CFF" w:rsidRDefault="00B52CFF" w:rsidP="00FC4E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2CFF" w:rsidRDefault="00B52CFF" w:rsidP="00FC4E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52CFF" w:rsidRDefault="00B52CFF" w:rsidP="00FC4EF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C5BC2" w:rsidRDefault="002C5BC2" w:rsidP="007D0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C2" w:rsidRDefault="002C5BC2" w:rsidP="007D0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C2" w:rsidRDefault="002C5BC2" w:rsidP="007D0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C2" w:rsidRDefault="002C5BC2" w:rsidP="007D0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C2" w:rsidRDefault="002C5BC2" w:rsidP="007D0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C2" w:rsidRDefault="002C5BC2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3D50" w:rsidRDefault="00883D50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7D0B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2C5B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Raportul va fi distribuit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urmatoarele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persoane:</w:t>
      </w:r>
    </w:p>
    <w:p w:rsidR="00DF1E14" w:rsidRDefault="00DF1E14" w:rsidP="0080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3D50" w:rsidRDefault="00883D50" w:rsidP="0080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83D50" w:rsidRDefault="00883D50" w:rsidP="0080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2C5BC2" w:rsidRDefault="002C5BC2" w:rsidP="0080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61"/>
        <w:gridCol w:w="3001"/>
      </w:tblGrid>
      <w:tr w:rsidR="00DF1E14" w:rsidRPr="00971DA5" w:rsidTr="00DF1E14">
        <w:tc>
          <w:tcPr>
            <w:tcW w:w="3000" w:type="dxa"/>
          </w:tcPr>
          <w:p w:rsidR="00DF1E14" w:rsidRPr="00971DA5" w:rsidRDefault="00DF1E14" w:rsidP="005F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DA5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97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 </w:t>
            </w:r>
            <w:proofErr w:type="spellStart"/>
            <w:r w:rsidRPr="00971DA5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061" w:type="dxa"/>
          </w:tcPr>
          <w:p w:rsidR="00DF1E14" w:rsidRPr="00971DA5" w:rsidRDefault="00DF1E14" w:rsidP="005F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DA5">
              <w:rPr>
                <w:rFonts w:ascii="Times New Roman" w:hAnsi="Times New Roman" w:cs="Times New Roman"/>
                <w:b/>
                <w:sz w:val="24"/>
                <w:szCs w:val="24"/>
              </w:rPr>
              <w:t>Functie</w:t>
            </w:r>
            <w:proofErr w:type="spellEnd"/>
          </w:p>
        </w:tc>
        <w:tc>
          <w:tcPr>
            <w:tcW w:w="3001" w:type="dxa"/>
          </w:tcPr>
          <w:p w:rsidR="00DF1E14" w:rsidRPr="00971DA5" w:rsidRDefault="00DF1E14" w:rsidP="005F3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DA5">
              <w:rPr>
                <w:rFonts w:ascii="Times New Roman" w:hAnsi="Times New Roman" w:cs="Times New Roman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DF1E14" w:rsidRPr="00971DA5" w:rsidTr="00DF1E14">
        <w:tc>
          <w:tcPr>
            <w:tcW w:w="3000" w:type="dxa"/>
          </w:tcPr>
          <w:p w:rsidR="00DF1E14" w:rsidRPr="00971DA5" w:rsidRDefault="002C5BC2" w:rsidP="005F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Florentina</w:t>
            </w:r>
            <w:proofErr w:type="spellEnd"/>
          </w:p>
        </w:tc>
        <w:tc>
          <w:tcPr>
            <w:tcW w:w="3061" w:type="dxa"/>
          </w:tcPr>
          <w:p w:rsidR="00DF1E14" w:rsidRPr="00971DA5" w:rsidRDefault="00DF1E14" w:rsidP="002C5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proofErr w:type="spellStart"/>
            <w:r w:rsidR="002C5BC2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="002C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BC2"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</w:p>
        </w:tc>
        <w:tc>
          <w:tcPr>
            <w:tcW w:w="3001" w:type="dxa"/>
          </w:tcPr>
          <w:p w:rsidR="00DF1E14" w:rsidRPr="00971DA5" w:rsidRDefault="00DF1E14" w:rsidP="005F3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4" w:rsidRPr="00971DA5" w:rsidTr="00DF1E14">
        <w:tc>
          <w:tcPr>
            <w:tcW w:w="3000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Traistaru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Camelia</w:t>
            </w:r>
          </w:p>
        </w:tc>
        <w:tc>
          <w:tcPr>
            <w:tcW w:w="306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BMC</w:t>
            </w:r>
            <w:r w:rsidR="002C5BC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00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4" w:rsidRPr="00971DA5" w:rsidTr="00DF1E14">
        <w:tc>
          <w:tcPr>
            <w:tcW w:w="3000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Colfescu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 Maria</w:t>
            </w:r>
          </w:p>
        </w:tc>
        <w:tc>
          <w:tcPr>
            <w:tcW w:w="306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00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4" w:rsidRPr="00971DA5" w:rsidTr="00DF1E14">
        <w:tc>
          <w:tcPr>
            <w:tcW w:w="3000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Dr.Dicu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</w:t>
            </w:r>
          </w:p>
        </w:tc>
        <w:tc>
          <w:tcPr>
            <w:tcW w:w="306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0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4" w:rsidRPr="00971DA5" w:rsidTr="00DF1E14">
        <w:tc>
          <w:tcPr>
            <w:tcW w:w="3000" w:type="dxa"/>
          </w:tcPr>
          <w:p w:rsidR="00DF1E14" w:rsidRDefault="00883D50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Farm.Valu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3061" w:type="dxa"/>
          </w:tcPr>
          <w:p w:rsidR="00DF1E14" w:rsidRDefault="00883D50" w:rsidP="00DF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Farmacie</w:t>
            </w:r>
            <w:proofErr w:type="spellEnd"/>
          </w:p>
        </w:tc>
        <w:tc>
          <w:tcPr>
            <w:tcW w:w="300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D50" w:rsidRPr="00971DA5" w:rsidTr="00DF1E14">
        <w:trPr>
          <w:trHeight w:val="75"/>
        </w:trPr>
        <w:tc>
          <w:tcPr>
            <w:tcW w:w="3000" w:type="dxa"/>
          </w:tcPr>
          <w:p w:rsidR="00883D50" w:rsidRDefault="00883D50" w:rsidP="00883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Ec. Constantin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Petrisor</w:t>
            </w:r>
            <w:proofErr w:type="spellEnd"/>
          </w:p>
        </w:tc>
        <w:tc>
          <w:tcPr>
            <w:tcW w:w="3061" w:type="dxa"/>
          </w:tcPr>
          <w:p w:rsidR="00883D50" w:rsidRDefault="00883D50" w:rsidP="0088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Comp.Achizitii,Contracte</w:t>
            </w:r>
            <w:proofErr w:type="spellEnd"/>
          </w:p>
        </w:tc>
        <w:tc>
          <w:tcPr>
            <w:tcW w:w="3001" w:type="dxa"/>
          </w:tcPr>
          <w:p w:rsidR="00883D50" w:rsidRPr="00971DA5" w:rsidRDefault="00883D50" w:rsidP="00883D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4" w:rsidRPr="00971DA5" w:rsidTr="00DF1E14">
        <w:tc>
          <w:tcPr>
            <w:tcW w:w="3000" w:type="dxa"/>
            <w:vAlign w:val="center"/>
          </w:tcPr>
          <w:p w:rsidR="00DF1E14" w:rsidRPr="006F03C7" w:rsidRDefault="00DF1E14" w:rsidP="00DF1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>Belghiru</w:t>
            </w:r>
            <w:proofErr w:type="spellEnd"/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>Catalin</w:t>
            </w:r>
            <w:proofErr w:type="spellEnd"/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Florin</w:t>
            </w:r>
          </w:p>
        </w:tc>
        <w:tc>
          <w:tcPr>
            <w:tcW w:w="3061" w:type="dxa"/>
            <w:vAlign w:val="center"/>
          </w:tcPr>
          <w:p w:rsidR="00DF1E14" w:rsidRPr="006F03C7" w:rsidRDefault="00DF1E14" w:rsidP="00DF1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03C7">
              <w:rPr>
                <w:rFonts w:ascii="Times New Roman" w:hAnsi="Times New Roman" w:cs="Times New Roman"/>
                <w:sz w:val="24"/>
                <w:szCs w:val="24"/>
              </w:rPr>
              <w:t>Compartiment</w:t>
            </w:r>
            <w:proofErr w:type="spellEnd"/>
            <w:r w:rsidRPr="006F0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3C7">
              <w:rPr>
                <w:rFonts w:ascii="Times New Roman" w:hAnsi="Times New Roman" w:cs="Times New Roman"/>
                <w:sz w:val="24"/>
                <w:szCs w:val="24"/>
              </w:rPr>
              <w:t>Juridic</w:t>
            </w:r>
            <w:proofErr w:type="spellEnd"/>
          </w:p>
        </w:tc>
        <w:tc>
          <w:tcPr>
            <w:tcW w:w="300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4" w:rsidRPr="00971DA5" w:rsidTr="00DF1E14">
        <w:tc>
          <w:tcPr>
            <w:tcW w:w="3000" w:type="dxa"/>
            <w:vAlign w:val="center"/>
          </w:tcPr>
          <w:p w:rsidR="00DF1E14" w:rsidRPr="006F03C7" w:rsidRDefault="00DF1E14" w:rsidP="00DF1E14">
            <w:pPr>
              <w:rPr>
                <w:b/>
                <w:sz w:val="24"/>
                <w:szCs w:val="24"/>
              </w:rPr>
            </w:pPr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Inst. </w:t>
            </w:r>
            <w:proofErr w:type="spellStart"/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>Erg.Visan</w:t>
            </w:r>
            <w:proofErr w:type="spellEnd"/>
            <w:r w:rsidRPr="006F0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Lucian</w:t>
            </w:r>
          </w:p>
        </w:tc>
        <w:tc>
          <w:tcPr>
            <w:tcW w:w="3061" w:type="dxa"/>
            <w:vAlign w:val="center"/>
          </w:tcPr>
          <w:p w:rsidR="00DF1E14" w:rsidRPr="00AD7397" w:rsidRDefault="00DF1E14" w:rsidP="00DF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C7">
              <w:rPr>
                <w:rFonts w:ascii="Times New Roman" w:hAnsi="Times New Roman" w:cs="Times New Roman"/>
                <w:bCs/>
                <w:sz w:val="24"/>
                <w:szCs w:val="24"/>
              </w:rPr>
              <w:t>Ergoterapie</w:t>
            </w:r>
            <w:proofErr w:type="spellEnd"/>
            <w:r w:rsidRPr="006F0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F03C7">
              <w:rPr>
                <w:rFonts w:ascii="Times New Roman" w:hAnsi="Times New Roman" w:cs="Times New Roman"/>
                <w:bCs/>
                <w:sz w:val="24"/>
                <w:szCs w:val="24"/>
              </w:rPr>
              <w:t>Ocupationala</w:t>
            </w:r>
            <w:proofErr w:type="spellEnd"/>
          </w:p>
        </w:tc>
        <w:tc>
          <w:tcPr>
            <w:tcW w:w="3001" w:type="dxa"/>
          </w:tcPr>
          <w:p w:rsidR="00DF1E14" w:rsidRPr="00971DA5" w:rsidRDefault="00DF1E14" w:rsidP="00DF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E14" w:rsidRDefault="00DF1E14" w:rsidP="0080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36508" w:rsidRPr="006F03C7" w:rsidRDefault="00836508" w:rsidP="002D6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</w:p>
    <w:p w:rsidR="00AF1714" w:rsidRPr="00030A5B" w:rsidRDefault="00AF1714" w:rsidP="00AF17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1714" w:rsidRPr="0003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A3E"/>
    <w:multiLevelType w:val="hybridMultilevel"/>
    <w:tmpl w:val="7E7CF84C"/>
    <w:lvl w:ilvl="0" w:tplc="CE6212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9D279A"/>
    <w:multiLevelType w:val="hybridMultilevel"/>
    <w:tmpl w:val="65E225B2"/>
    <w:lvl w:ilvl="0" w:tplc="2E62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2C3E"/>
    <w:multiLevelType w:val="hybridMultilevel"/>
    <w:tmpl w:val="C5886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1DA4"/>
    <w:multiLevelType w:val="hybridMultilevel"/>
    <w:tmpl w:val="587C0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539A1"/>
    <w:multiLevelType w:val="hybridMultilevel"/>
    <w:tmpl w:val="92CAB276"/>
    <w:lvl w:ilvl="0" w:tplc="FF2A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1FFB"/>
    <w:multiLevelType w:val="hybridMultilevel"/>
    <w:tmpl w:val="9078C182"/>
    <w:lvl w:ilvl="0" w:tplc="A5B0C33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97C04F1"/>
    <w:multiLevelType w:val="hybridMultilevel"/>
    <w:tmpl w:val="00147F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3670A"/>
    <w:multiLevelType w:val="hybridMultilevel"/>
    <w:tmpl w:val="587C08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A4"/>
    <w:rsid w:val="00030A5B"/>
    <w:rsid w:val="00086CBA"/>
    <w:rsid w:val="000D47B4"/>
    <w:rsid w:val="002915F1"/>
    <w:rsid w:val="002C430F"/>
    <w:rsid w:val="002C5BC2"/>
    <w:rsid w:val="002D6D05"/>
    <w:rsid w:val="002F5339"/>
    <w:rsid w:val="002F5FA4"/>
    <w:rsid w:val="003E2CE8"/>
    <w:rsid w:val="004651DA"/>
    <w:rsid w:val="004E29D6"/>
    <w:rsid w:val="00590FD0"/>
    <w:rsid w:val="005B7879"/>
    <w:rsid w:val="006321D5"/>
    <w:rsid w:val="00672828"/>
    <w:rsid w:val="007D0B94"/>
    <w:rsid w:val="0080078C"/>
    <w:rsid w:val="00836508"/>
    <w:rsid w:val="00883D50"/>
    <w:rsid w:val="008D1902"/>
    <w:rsid w:val="00917F7F"/>
    <w:rsid w:val="009A6525"/>
    <w:rsid w:val="009C16D4"/>
    <w:rsid w:val="009C221C"/>
    <w:rsid w:val="00A71524"/>
    <w:rsid w:val="00A80578"/>
    <w:rsid w:val="00A85B8A"/>
    <w:rsid w:val="00AF1714"/>
    <w:rsid w:val="00B237FA"/>
    <w:rsid w:val="00B52CFF"/>
    <w:rsid w:val="00C54B6D"/>
    <w:rsid w:val="00DA3CD3"/>
    <w:rsid w:val="00DF1E14"/>
    <w:rsid w:val="00E05702"/>
    <w:rsid w:val="00E5218C"/>
    <w:rsid w:val="00E94F9D"/>
    <w:rsid w:val="00F33914"/>
    <w:rsid w:val="00F43445"/>
    <w:rsid w:val="00F81E38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E208-829D-4C97-A2BC-D27B8F1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71524"/>
    <w:rPr>
      <w:i/>
      <w:iCs/>
    </w:rPr>
  </w:style>
  <w:style w:type="paragraph" w:styleId="ListParagraph">
    <w:name w:val="List Paragraph"/>
    <w:basedOn w:val="Normal"/>
    <w:uiPriority w:val="34"/>
    <w:qFormat/>
    <w:rsid w:val="00030A5B"/>
    <w:pPr>
      <w:ind w:left="720"/>
      <w:contextualSpacing/>
    </w:pPr>
  </w:style>
  <w:style w:type="table" w:styleId="TableGrid">
    <w:name w:val="Table Grid"/>
    <w:basedOn w:val="TableNormal"/>
    <w:uiPriority w:val="59"/>
    <w:rsid w:val="00DF1E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780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10</cp:revision>
  <dcterms:created xsi:type="dcterms:W3CDTF">2020-07-21T09:35:00Z</dcterms:created>
  <dcterms:modified xsi:type="dcterms:W3CDTF">2021-04-19T09:47:00Z</dcterms:modified>
</cp:coreProperties>
</file>